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66E23" w:rsidP="00F266A7">
      <w:pPr>
        <w:pStyle w:val="Title"/>
        <w:ind w:firstLine="432"/>
        <w:rPr>
          <w:b/>
          <w:szCs w:val="24"/>
        </w:rPr>
      </w:pPr>
      <w:r w:rsidRPr="00C66E2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66E23" w:rsidP="00F266A7">
      <w:pPr>
        <w:pStyle w:val="Title"/>
        <w:ind w:firstLine="432"/>
        <w:rPr>
          <w:b/>
          <w:szCs w:val="24"/>
        </w:rPr>
      </w:pPr>
      <w:r w:rsidRPr="00C66E2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81" w:type="dxa"/>
        <w:jc w:val="center"/>
        <w:tblLook w:val="01E0"/>
      </w:tblPr>
      <w:tblGrid>
        <w:gridCol w:w="1471"/>
        <w:gridCol w:w="4982"/>
        <w:gridCol w:w="1026"/>
        <w:gridCol w:w="1701"/>
        <w:gridCol w:w="1701"/>
      </w:tblGrid>
      <w:tr w:rsidR="008C331D" w:rsidRPr="00CF7AD3" w:rsidTr="00C6397F">
        <w:trPr>
          <w:jc w:val="center"/>
        </w:trPr>
        <w:tc>
          <w:tcPr>
            <w:tcW w:w="1471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82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026" w:type="dxa"/>
          </w:tcPr>
          <w:p w:rsidR="008C331D" w:rsidRDefault="008C331D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8C331D" w:rsidRPr="00CF7AD3" w:rsidRDefault="008C331D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701" w:type="dxa"/>
          </w:tcPr>
          <w:p w:rsidR="008C331D" w:rsidRPr="002E336A" w:rsidRDefault="008C331D" w:rsidP="00875196">
            <w:pPr>
              <w:pStyle w:val="Title"/>
              <w:jc w:val="left"/>
              <w:rPr>
                <w:b/>
                <w:color w:val="FF0000"/>
              </w:rPr>
            </w:pPr>
            <w:r w:rsidRPr="00610D59">
              <w:rPr>
                <w:b/>
              </w:rPr>
              <w:t>2016-17 ODD</w:t>
            </w:r>
          </w:p>
        </w:tc>
      </w:tr>
      <w:tr w:rsidR="008C331D" w:rsidRPr="00CF7AD3" w:rsidTr="00C6397F">
        <w:trPr>
          <w:jc w:val="center"/>
        </w:trPr>
        <w:tc>
          <w:tcPr>
            <w:tcW w:w="1471" w:type="dxa"/>
          </w:tcPr>
          <w:p w:rsidR="008C331D" w:rsidRPr="00CF7AD3" w:rsidRDefault="00610D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Code        </w:t>
            </w:r>
            <w:r w:rsidR="008C331D" w:rsidRPr="00CF7AD3">
              <w:rPr>
                <w:b/>
              </w:rPr>
              <w:t xml:space="preserve">  :</w:t>
            </w:r>
          </w:p>
        </w:tc>
        <w:tc>
          <w:tcPr>
            <w:tcW w:w="4982" w:type="dxa"/>
          </w:tcPr>
          <w:p w:rsidR="008C331D" w:rsidRPr="002E336A" w:rsidRDefault="00610D59" w:rsidP="00875196">
            <w:pPr>
              <w:pStyle w:val="Title"/>
              <w:jc w:val="left"/>
              <w:rPr>
                <w:b/>
                <w:color w:val="FF0000"/>
              </w:rPr>
            </w:pPr>
            <w:r w:rsidRPr="00E019FB">
              <w:rPr>
                <w:b/>
              </w:rPr>
              <w:t>14CS2025</w:t>
            </w:r>
            <w:r w:rsidRPr="00E019FB">
              <w:rPr>
                <w:b/>
              </w:rPr>
              <w:tab/>
            </w:r>
          </w:p>
        </w:tc>
        <w:tc>
          <w:tcPr>
            <w:tcW w:w="1026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C331D" w:rsidRPr="00CF7AD3" w:rsidTr="00C6397F">
        <w:trPr>
          <w:jc w:val="center"/>
        </w:trPr>
        <w:tc>
          <w:tcPr>
            <w:tcW w:w="1471" w:type="dxa"/>
          </w:tcPr>
          <w:p w:rsidR="008C331D" w:rsidRPr="00CF7AD3" w:rsidRDefault="00610D5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Sub. Name</w:t>
            </w:r>
            <w:r w:rsidR="008C331D" w:rsidRPr="00CF7AD3">
              <w:rPr>
                <w:b/>
              </w:rPr>
              <w:t>:</w:t>
            </w:r>
          </w:p>
        </w:tc>
        <w:tc>
          <w:tcPr>
            <w:tcW w:w="4982" w:type="dxa"/>
          </w:tcPr>
          <w:p w:rsidR="008C331D" w:rsidRPr="002E336A" w:rsidRDefault="00C6397F" w:rsidP="00875196">
            <w:pPr>
              <w:pStyle w:val="Title"/>
              <w:jc w:val="left"/>
              <w:rPr>
                <w:b/>
                <w:color w:val="FF0000"/>
              </w:rPr>
            </w:pPr>
            <w:bookmarkStart w:id="0" w:name="_GoBack"/>
            <w:r w:rsidRPr="00E019FB">
              <w:rPr>
                <w:b/>
              </w:rPr>
              <w:t>IT INFRASTRUCTURE AND MANAGEMENT</w:t>
            </w:r>
            <w:bookmarkEnd w:id="0"/>
          </w:p>
        </w:tc>
        <w:tc>
          <w:tcPr>
            <w:tcW w:w="1026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8C331D" w:rsidRPr="00CF7AD3" w:rsidRDefault="008C331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66E23" w:rsidP="005527A4">
      <w:pPr>
        <w:pStyle w:val="Title"/>
        <w:jc w:val="left"/>
        <w:rPr>
          <w:b/>
        </w:rPr>
      </w:pPr>
      <w:r w:rsidRPr="00C66E23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5pt,11.2pt" to="556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915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7"/>
        <w:gridCol w:w="567"/>
        <w:gridCol w:w="7796"/>
        <w:gridCol w:w="1134"/>
        <w:gridCol w:w="851"/>
      </w:tblGrid>
      <w:tr w:rsidR="00E41D9E" w:rsidRPr="00C6397F" w:rsidTr="009E0208">
        <w:trPr>
          <w:trHeight w:val="6"/>
        </w:trPr>
        <w:tc>
          <w:tcPr>
            <w:tcW w:w="567" w:type="dxa"/>
            <w:shd w:val="clear" w:color="auto" w:fill="auto"/>
          </w:tcPr>
          <w:p w:rsidR="00E41D9E" w:rsidRPr="00C6397F" w:rsidRDefault="00E41D9E" w:rsidP="00C6397F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>Q. No</w:t>
            </w:r>
          </w:p>
        </w:tc>
        <w:tc>
          <w:tcPr>
            <w:tcW w:w="567" w:type="dxa"/>
            <w:shd w:val="clear" w:color="auto" w:fill="auto"/>
          </w:tcPr>
          <w:p w:rsidR="00E41D9E" w:rsidRPr="00C6397F" w:rsidRDefault="00E41D9E" w:rsidP="00875196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>Sub Div</w:t>
            </w:r>
          </w:p>
        </w:tc>
        <w:tc>
          <w:tcPr>
            <w:tcW w:w="7796" w:type="dxa"/>
            <w:shd w:val="clear" w:color="auto" w:fill="auto"/>
          </w:tcPr>
          <w:p w:rsidR="00E41D9E" w:rsidRPr="00C6397F" w:rsidRDefault="00E41D9E" w:rsidP="00875196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E41D9E" w:rsidRPr="00C6397F" w:rsidRDefault="00E41D9E" w:rsidP="00875196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 xml:space="preserve">Course </w:t>
            </w:r>
          </w:p>
          <w:p w:rsidR="00E41D9E" w:rsidRPr="00C6397F" w:rsidRDefault="00E41D9E" w:rsidP="00875196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>Outcome</w:t>
            </w:r>
          </w:p>
        </w:tc>
        <w:tc>
          <w:tcPr>
            <w:tcW w:w="851" w:type="dxa"/>
          </w:tcPr>
          <w:p w:rsidR="00E41D9E" w:rsidRPr="00C6397F" w:rsidRDefault="00E41D9E" w:rsidP="00E41D9E">
            <w:pPr>
              <w:jc w:val="center"/>
              <w:rPr>
                <w:sz w:val="22"/>
                <w:szCs w:val="22"/>
              </w:rPr>
            </w:pPr>
            <w:r w:rsidRPr="00C6397F">
              <w:rPr>
                <w:sz w:val="22"/>
                <w:szCs w:val="22"/>
              </w:rPr>
              <w:t>Marks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vMerge w:val="restart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1.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610D59">
            <w:pPr>
              <w:jc w:val="both"/>
            </w:pPr>
            <w:r w:rsidRPr="00610D59">
              <w:t>Karunya University wants to set up a cloud environment in the Technology Centre and also University wants privacy and control of computing environment. Which cloud deployment model will suit for this need? Justify.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vMerge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3E346C">
              <w:t>Can you provide 100% availability of the IT system? If no substantiate your answers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vMerge w:val="restart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2.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3E346C">
            <w:r>
              <w:t>Categorize the scenarios of the attack in the IT system with necessary diagram and suitable examples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vMerge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3E346C">
              <w:t>How do you improve the performance of the IT system? Explain with an example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3.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50370F">
            <w:pPr>
              <w:jc w:val="both"/>
            </w:pPr>
            <w:r>
              <w:t>Karunya University has signed MoU with IBM and IBM is in need of setting up a data center for its business operations at Karunya University. As an IT architect</w:t>
            </w:r>
            <w:r w:rsidR="005505D8">
              <w:t>,</w:t>
            </w:r>
            <w:r>
              <w:t xml:space="preserve"> you are assigned the task to ensure the environment to be conducive for the data center to be setup. Write the parameters which you will consider for justifying your decision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3E346C">
              <w:t>Draw the layout of the Datacenter and explain the purpose of each block.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4.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Default="00E41D9E" w:rsidP="00012D9A">
            <w:r>
              <w:t xml:space="preserve">Explain in brief about.                                                                                                                   </w:t>
            </w:r>
          </w:p>
          <w:p w:rsidR="00E41D9E" w:rsidRDefault="00E41D9E" w:rsidP="00012D9A">
            <w:r>
              <w:t>i.x86 processor</w:t>
            </w:r>
          </w:p>
          <w:p w:rsidR="00E41D9E" w:rsidRDefault="00E41D9E" w:rsidP="00012D9A">
            <w:r>
              <w:t>ii.AMD and other clone processor</w:t>
            </w:r>
            <w:r w:rsidR="005505D8">
              <w:t>s</w:t>
            </w:r>
          </w:p>
          <w:p w:rsidR="00E41D9E" w:rsidRDefault="00E41D9E" w:rsidP="00012D9A">
            <w:r>
              <w:t xml:space="preserve"> iii.64 bit processor</w:t>
            </w:r>
          </w:p>
          <w:p w:rsidR="00E41D9E" w:rsidRDefault="00E41D9E" w:rsidP="00012D9A">
            <w:proofErr w:type="spellStart"/>
            <w:r>
              <w:t>iv.Itanium</w:t>
            </w:r>
            <w:proofErr w:type="spellEnd"/>
          </w:p>
          <w:p w:rsidR="00E41D9E" w:rsidRDefault="00E41D9E" w:rsidP="00012D9A">
            <w:proofErr w:type="spellStart"/>
            <w:r>
              <w:t>v.Midrange</w:t>
            </w:r>
            <w:proofErr w:type="spellEnd"/>
            <w:r>
              <w:t xml:space="preserve"> processor</w:t>
            </w:r>
          </w:p>
          <w:p w:rsidR="00E41D9E" w:rsidRDefault="00E41D9E" w:rsidP="00012D9A">
            <w:proofErr w:type="spellStart"/>
            <w:r>
              <w:t>vi.SPARC</w:t>
            </w:r>
            <w:proofErr w:type="spellEnd"/>
          </w:p>
          <w:p w:rsidR="00E41D9E" w:rsidRDefault="00E41D9E" w:rsidP="00012D9A">
            <w:proofErr w:type="spellStart"/>
            <w:r>
              <w:t>vii.RISC</w:t>
            </w:r>
            <w:proofErr w:type="spellEnd"/>
          </w:p>
          <w:p w:rsidR="00E41D9E" w:rsidRPr="00EF5853" w:rsidRDefault="00E41D9E" w:rsidP="00012D9A">
            <w:proofErr w:type="spellStart"/>
            <w:r>
              <w:t>viii.Alpha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3E346C">
            <w:r w:rsidRPr="00012D9A">
              <w:t>Give an overview of</w:t>
            </w:r>
            <w:r w:rsidR="005505D8" w:rsidRPr="005505D8">
              <w:t>the internal and external interface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5.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3E346C">
              <w:t xml:space="preserve">High network availability is mandatory as downtime in the service cannot be tolerated by   the customer. How can it be achieved? How do you measure the network performance?                        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3E346C">
              <w:t>Explain the IP version 4. Premier Express Cargo company is granted the site address 201.70.1.0 and Premier Express Cargo Company needs four subnets. Design the subnets.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6.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012D9A">
              <w:t>Discuss in d</w:t>
            </w:r>
            <w:r w:rsidR="00C66E33">
              <w:t>etail about Data deduplication.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C66E3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012D9A">
              <w:t xml:space="preserve">Summarize the </w:t>
            </w:r>
            <w:r w:rsidR="00877088" w:rsidRPr="00877088">
              <w:t xml:space="preserve">unique characteristic </w:t>
            </w:r>
            <w:r w:rsidRPr="00012D9A">
              <w:t>RAID levels and explain the pros and cons of the different RAID levels.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7.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3501BA">
            <w:r w:rsidRPr="003501BA">
              <w:t xml:space="preserve">Explain </w:t>
            </w:r>
            <w:r>
              <w:t xml:space="preserve">the </w:t>
            </w:r>
            <w:r w:rsidRPr="003501BA">
              <w:t>advantage and disadvantage of using virtualization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41D9E" w:rsidRPr="00EF5853" w:rsidTr="009E0208">
        <w:trPr>
          <w:trHeight w:val="4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C6397F" w:rsidRPr="00EF5853" w:rsidRDefault="00E41D9E" w:rsidP="00E03C6B">
            <w:r>
              <w:t>How do you enhance the availability</w:t>
            </w:r>
            <w:r w:rsidRPr="003501BA">
              <w:t xml:space="preserve"> of </w:t>
            </w:r>
            <w:r>
              <w:t xml:space="preserve">an virtual </w:t>
            </w:r>
            <w:proofErr w:type="spellStart"/>
            <w:r>
              <w:t>machines</w:t>
            </w:r>
            <w:proofErr w:type="gramStart"/>
            <w:r>
              <w:t>?Explain</w:t>
            </w:r>
            <w:proofErr w:type="spellEnd"/>
            <w:proofErr w:type="gramEnd"/>
            <w:r>
              <w:t xml:space="preserve"> with an proper  example.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1" w:type="dxa"/>
          </w:tcPr>
          <w:p w:rsidR="00E41D9E" w:rsidRPr="00875196" w:rsidRDefault="003C45D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8.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2C1571">
              <w:t>Illustrate the use of failover clustering. How it contributes to the availability of the operating system</w:t>
            </w:r>
            <w:r w:rsidR="00E03C6B"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2C1571">
              <w:t>How do you protect the operating system? Explain with an example</w:t>
            </w:r>
            <w:r w:rsidR="00E03C6B"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41D9E" w:rsidRPr="00EF5853" w:rsidTr="009E0208">
        <w:trPr>
          <w:trHeight w:val="2"/>
        </w:trPr>
        <w:tc>
          <w:tcPr>
            <w:tcW w:w="1134" w:type="dxa"/>
            <w:gridSpan w:val="2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7796" w:type="dxa"/>
            <w:shd w:val="clear" w:color="auto" w:fill="auto"/>
          </w:tcPr>
          <w:p w:rsidR="00E41D9E" w:rsidRPr="00875196" w:rsidRDefault="00E41D9E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9.</w:t>
            </w: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 w:rsidRPr="002C1571">
              <w:t>Compare the advantage of using VDI and thin clients instead of using traditional desktop environments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41D9E" w:rsidRPr="00EF5853" w:rsidTr="009E0208">
        <w:trPr>
          <w:trHeight w:val="2"/>
        </w:trPr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E41D9E" w:rsidRPr="00EF5853" w:rsidRDefault="00E41D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796" w:type="dxa"/>
            <w:shd w:val="clear" w:color="auto" w:fill="auto"/>
          </w:tcPr>
          <w:p w:rsidR="00E41D9E" w:rsidRPr="00EF5853" w:rsidRDefault="00E41D9E" w:rsidP="00875196">
            <w:r>
              <w:t xml:space="preserve">Discuss the different types of printers. </w:t>
            </w:r>
          </w:p>
        </w:tc>
        <w:tc>
          <w:tcPr>
            <w:tcW w:w="1134" w:type="dxa"/>
            <w:shd w:val="clear" w:color="auto" w:fill="auto"/>
          </w:tcPr>
          <w:p w:rsidR="00E41D9E" w:rsidRPr="00875196" w:rsidRDefault="006533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1" w:type="dxa"/>
          </w:tcPr>
          <w:p w:rsidR="00E41D9E" w:rsidRPr="00875196" w:rsidRDefault="00E41D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D9A"/>
    <w:rsid w:val="00023B9E"/>
    <w:rsid w:val="00061821"/>
    <w:rsid w:val="000D2012"/>
    <w:rsid w:val="000F3EFE"/>
    <w:rsid w:val="001D41FE"/>
    <w:rsid w:val="001D670F"/>
    <w:rsid w:val="001E2222"/>
    <w:rsid w:val="001F54D1"/>
    <w:rsid w:val="001F7E9B"/>
    <w:rsid w:val="00205F05"/>
    <w:rsid w:val="002C1571"/>
    <w:rsid w:val="002D09FF"/>
    <w:rsid w:val="002D7611"/>
    <w:rsid w:val="002D76BB"/>
    <w:rsid w:val="002E336A"/>
    <w:rsid w:val="002E552A"/>
    <w:rsid w:val="00304757"/>
    <w:rsid w:val="00324247"/>
    <w:rsid w:val="003501BA"/>
    <w:rsid w:val="00360BDA"/>
    <w:rsid w:val="003855F1"/>
    <w:rsid w:val="003B14BC"/>
    <w:rsid w:val="003B1F06"/>
    <w:rsid w:val="003C45D3"/>
    <w:rsid w:val="003C6BB4"/>
    <w:rsid w:val="003E346C"/>
    <w:rsid w:val="0046314C"/>
    <w:rsid w:val="0046787F"/>
    <w:rsid w:val="004C5F44"/>
    <w:rsid w:val="004F787A"/>
    <w:rsid w:val="00501F18"/>
    <w:rsid w:val="0050370F"/>
    <w:rsid w:val="0050571C"/>
    <w:rsid w:val="005133D7"/>
    <w:rsid w:val="005505D8"/>
    <w:rsid w:val="00551870"/>
    <w:rsid w:val="005527A4"/>
    <w:rsid w:val="005D0F4A"/>
    <w:rsid w:val="005F011C"/>
    <w:rsid w:val="00610D59"/>
    <w:rsid w:val="0062605C"/>
    <w:rsid w:val="00653386"/>
    <w:rsid w:val="00681B25"/>
    <w:rsid w:val="006C7354"/>
    <w:rsid w:val="00725A0A"/>
    <w:rsid w:val="007326F6"/>
    <w:rsid w:val="007B78AC"/>
    <w:rsid w:val="00802202"/>
    <w:rsid w:val="00875196"/>
    <w:rsid w:val="00877088"/>
    <w:rsid w:val="008A56BE"/>
    <w:rsid w:val="008B0703"/>
    <w:rsid w:val="008C331D"/>
    <w:rsid w:val="00904D12"/>
    <w:rsid w:val="0095679B"/>
    <w:rsid w:val="009B53DD"/>
    <w:rsid w:val="009C5A1D"/>
    <w:rsid w:val="009E020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397F"/>
    <w:rsid w:val="00C66E23"/>
    <w:rsid w:val="00C66E33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3C6B"/>
    <w:rsid w:val="00E41D9E"/>
    <w:rsid w:val="00E70A47"/>
    <w:rsid w:val="00E824B7"/>
    <w:rsid w:val="00E82652"/>
    <w:rsid w:val="00ED286B"/>
    <w:rsid w:val="00F11EDB"/>
    <w:rsid w:val="00F12A05"/>
    <w:rsid w:val="00F162EA"/>
    <w:rsid w:val="00F266A7"/>
    <w:rsid w:val="00F55D6F"/>
    <w:rsid w:val="00FB3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FB24-3F70-42DA-ADEB-ECD2918AA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2016-09-21T16:48:00Z</cp:lastPrinted>
  <dcterms:created xsi:type="dcterms:W3CDTF">2016-11-11T06:45:00Z</dcterms:created>
  <dcterms:modified xsi:type="dcterms:W3CDTF">2016-11-25T07:34:00Z</dcterms:modified>
</cp:coreProperties>
</file>